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贵州中医药大学第二附属医院2026年高层次人才引才工作方案</w:t>
      </w:r>
    </w:p>
    <w:bookmarkEnd w:id="0"/>
    <w:p>
      <w:pPr>
        <w:ind w:left="0" w:leftChars="0" w:firstLine="0" w:firstLineChars="0"/>
        <w:rPr>
          <w:rFonts w:hint="eastAsia"/>
          <w:sz w:val="28"/>
          <w:szCs w:val="21"/>
        </w:rPr>
      </w:pPr>
      <w:r>
        <w:rPr>
          <w:rFonts w:hint="eastAsia"/>
          <w:sz w:val="28"/>
          <w:szCs w:val="21"/>
        </w:rPr>
        <w:t>日期：2026-04-20 14:31:25  来源：贵州中医药大学第二附属医院 </w:t>
      </w:r>
    </w:p>
    <w:p>
      <w:pPr>
        <w:ind w:left="0" w:leftChars="0" w:firstLine="0" w:firstLineChars="0"/>
        <w:rPr>
          <w:rFonts w:hint="eastAsia"/>
          <w:sz w:val="28"/>
          <w:szCs w:val="2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bdr w:val="none" w:color="auto" w:sz="0" w:space="0"/>
          <w:shd w:val="clear" w:fill="FFFFFF"/>
        </w:rPr>
        <w:t>贵州中医药大学第二附属医院（贵州省中西医结合医院）建于1951年，前身为贵州省商业厅职工医院。医院秉持“以人为本，患者至上”宗旨及“传承融汇，厚德济民”的院训，经过70余年发展，现已建设成为集医疗、教学、科研、预防、康复、养生、保健为一体的三级甲等中医院（中西医结合医院）。建有飞山院区、红岩院区、儿童康复中心和省委党校门诊部四院区，并加挂贵州中医药大学针灸康复医院。建设省级区域医疗中心贵州中医药大学第二附属医院黔西南医院（黔西南州中医医院），贵州省首个中西医结合医学科学实验室，贵阳市中药临方制剂加工中心。牵头成立贵州省中西医结合医联体，成员单位已达65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医院先后获国家中医药管理局“重点中西医结合医院” “全国卫生系统先进集体”“全省脱贫攻坚先进党组织”“贵州省抗击新冠肺炎疫情先进集体”“贵州省抗击新冠肺炎疫情三八红旗先进集体”及“十大医学人文创新医院”等。获批国家中医紧急医学救援队及紧急医学救援基地依托单位，国家中西医协同“旗舰”医院试点项目建设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现建设床位2629张，临床科室68个，医技医辅科室21个。现有卫生部临床重点专科（中医）2 个，国家中西医协同“旗舰”科室3个，国家中医药管理局重点专科5个、中医优势专科6个，重点专科培育项目2个；国家中医药管理局中医一体化创新服务诊疗模式3个；贵州省重点专科23个、中医优势专科4个，贵州省中医相关专业医疗质控中心 10 个。先后建设成为贵州省中医系统首家国家标准版胸痛中心、国家标准版心衰中心，国家中医心血管病临床医学研究中心分中心，全国首批十四家心脏康复基地之一；全国类风湿关节炎规范诊疗中心、痛风规范诊疗中心；国家区域（华南）中医肺病诊疗分中心；国家眼部疾病临床医学研究中心（北京白求恩公益基金会）、国家耳鼻咽喉疾病临床医学研究中心首批全国耳内镜外科规范化培训推广协作组单位及成员；国家消化系统疾病临床研究中心（网络单位）；HQCC全国小儿推拿标准化认证基地。通过呼吸与危重症医学科获（PCCM）专业认证。拥有国医大师2人，全国名中医4人，全国人大代表1人，国务院特殊津贴专家4人，全国中医药高等学校教学名师2人，全国老中医药专家学术经验继承工作指导老师19人，国家级名中医传承工作室12个，全国老药工传承工作室2个，省管专家6人，贵州省特殊津贴专家8人，省级名中医28人，国家青年岐黄学者2人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根据《事业单位公开招聘人员暂行规定》（人事部令第6号）、《中共中央组织部 人力资源社会保障部关于进一步做好事业单位公开招聘工作的通知》（人社部〔2024〕57号）和《贵州省事业单位新增人员公开招聘暂行办法》（黔人发〔2006〕4号）等有关文件精神，结合医院实际，经贵州省卫生健康委员会同意，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（三）坚持按需设岗、按岗招聘、人岗相适、人事相宜的原则；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二、引进条件及待遇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引进人才应具备下列基本条件：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1.具有中华人民共和国国籍，拥护中华人民共和国宪法，拥护中国共产党的领导，具有良好的思想政治素质。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2.自觉遵规守纪，诚实守信，品行端正，具有良好的职业道德和敬业精神。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3.专业素养好，熟悉有关政策法规和行业发展情况，具有胜任应聘岗位需要的相关专业知识和工作能力。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尚在试用期或服务期内的省内事业单位在编工作人员，不在本次高层次人才引进范围。通过人才“绿色通道”政策引进到事业单位的在编工作人员，在省内流动的，不得重复享受“绿色通道”引才政策支持。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（一）引进条件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1.顶尖人才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研究方向处于国际前沿，学术成果处于国际一流水平，取得国内外同行公认的重要成就，主要包括下列人才：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（1）中国科学院、中国工程院院士。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（2）国家“高层次人才特殊支持计划”杰出人才。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（3）国家科技奖特等奖（排名第1-3名）或一等奖（排名第1名）获得者。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（4）诺贝尔奖（物理、化学、生理或医学）、菲尔兹奖、沃尔夫奖、图灵奖、拉斯克奖等国际著名奖项获得者。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所需专业为医学类、药学类、护理学类、医技类。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2.领军人才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申报人年龄一般不超过55周岁，研究方向处于国内前沿，学术成果处于国内一流水平，具有成长为国家级（或世界级）杰出人才的潜力，符合下列条件之一：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（1）近10年内曾入选以下人才计划（项目）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①国家“高层次人才特殊支持计划”领军人才。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②国家“高层次人才引进计划”入选者（不含青年项目入选者）。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③长江学者奖励计划特聘教授、讲座讲授。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④科技部创新人才推进计划“中青年科技创新领军人才”。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⑤“神农英才计划”领军人才。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⑥ 岐黄学者。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⑦ 中国科学院率先行动“百人计划”（A类）入选者。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（2）近10年内曾担任以下项目（课题）负责人或职务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①自然科学基金重大项目、国家杰出青年基金项目、国防科技卓越青年科学基金、贵州省财政拨款经费达1000万元及以上“揭榜挂帅”项目（课题）负责人。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②国家一级学会理事长、副理事长，中华医学会、中华中医药学会、中华预防医学会专科分会主任委员或副主任委员。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③ 国家重点实验室、国家技术创新中心、国家临床医学研究中心主任或从事科研业务的副主任。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④国务院学位委员会学科评议组召集人，全国专业学位研究生教育指导委员会主任委员、副主任委员，世界一流建设学科带头人。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⑤国家重点型号总设计师、副总设计师。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⑥ 国（境）外世界排名前100大学教授〔国际知名三大世界大学排名：夸夸雷利•西蒙兹公司世界大学排名（QS排名）、上海交通大学世界一流大学研究中心世界大学排名（ARWU排名）、泰晤士高等教育世界大学排名（THE排名）〕。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（3）近10年内曾获得以下荣誉、奖项、成果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①全国杰出专业技术人才。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②国医大师、全国名中医。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③国家科技奖特等奖（排名第4-5名）或一等奖（排名第2名）或二等奖（排名第1名）获得者。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所需专业为医学类、药学类、护理学类、医技类。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3.拔尖人才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申报人年龄一般不超过50周岁，在自然科学领域崭露头角，取得突出学术成果，具有成为该领域领军人才和学科带头人的发展潜力，符合以下条件之一：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（1）近10年内曾入选以下人才计划（项目）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①国家“高层次人才特殊支持计划”青年拔尖人才。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②国家“高层次人才引进计划”青年人才。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③长江学者奖励计划“青年学者”项目获得者。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④青年岐黄学者。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⑤中国科学院率先行动“百人计划”（B类）终期评估获得“优秀”者。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（2）近10年内曾担任以下项目（课题）负责人或职务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①国家优秀青年科学基金、国家自然科学基金海外项目（海外优青项目）、国家自然科学基金重点项目、贵州省财政拨款经费达500万元及以上“揭榜挂帅”项目（课题）负责人。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②教育部学科评估B类学科带头人或“创新团队发展计划”带头人。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③国家级临床重点专科主任或副主任，中华医学会、中华中医药学会、中华预防医学会专科分会常委。</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④国（境）外世界排名101-200大学教授〔国际知名三大世界大学排名：夸夸雷利·西蒙兹公司世界大学排名（QS排名）、上海交通大学世界一流大学研究中学世界大学排名（ARWU排名）、泰晤士高等教育世界大学排名（THE排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（3）近10年内曾获得以下荣誉、奖项、成果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①国家卫生健康突出贡献中青年专家。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②中国青年科学家、中国青年女科学家。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③省（部）级科技奖一等奖及以上（排名第1）获得者。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（4）经用人单位认定并报省科技厅审定，取得相当于上述成果的同层次人才。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所需专业为医学类、药学类、护理学类、医技类。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4.优秀青年人才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申报人年龄不得超过45周岁，在自然科学领域创新业绩突出，具有成为该领域学术技术拔尖人才的发展潜力，符合以下条件：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（1）近5年来取得以下成果中的任意2项：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①独立或作为第一作者发表科研论文被SCI一区期刊（中科院分区）收录2篇。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②主持国家自然科学基金项目或省级重点项目1项。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③作为第一发明人获省级专利奖银奖以上1项；或作为第一权利人获得国内发明专利、国际发明专利、集成电路布图设计专有权2件以上，并已转让、许可、作价投资获利100万元以上。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④作为主要负责人（排名第1）完成省级标准化委员会、省行业主管部门立项的省级标准或省级行业标准1项；或主持完成国家重点型号二级项目的研究、设计工作1项，并通过项目主管部门验收；或主持培育省级主要农作物新品种1个或非主要农作物新品种2个。</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（2）经用人单位认定并报省有关部门审定，取得相当于上述成果的同层次人才。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所需专业为医学类、药学类、护理学类、医技类。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5、具有学历学位证书的博士</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申报人年龄不得超过40周岁。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需求岗位详见附件：贵州中医药大学第二附属医院2026年高层次人才引进岗位信息表。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（二）引进待遇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根据我院《高层次人才引进管理规定》，按照对应层次享受提供事业编制岗位、相应住房补贴、人才津贴、科研资助、工作条件及职称待遇，具体面谈。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三、岗位需求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（一）前1-4类人才引进岗位需求不限。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（二）第5类人才共计引进42名，引进岗位需求详见附件：贵州中医药大学第二附属医院2026年高层次人才引进岗位信息表。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四、招聘程序及注意事项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（一）发布公告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在贵州省人力资源和社会保障厅官网（http://rst.guizhou.gov.cn）及贵州中医药大学第二附属医院官网（http://www.gzydefy.com/）发布公开招聘公告。本次引才从即日起至2026年12月31日17:00有效。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（二）引才流程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报名采取网上报名的方式按以下程序进行：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1.报名时间及要求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报考人员须在2026年12月31日17:00前将所需材料发至指定邮箱zyefyrsk@163.com</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2.报名所需材料：个人简历、身份证、毕业证、学位证、执业证及称职资格证等相关资质证书扫描件以及符合相关应聘人才层次证明材料。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注意：报考人员根据所报岗位要求，只能选择一个岗位进行报名，资格审查不符合岗位要求及参与后续面试未通过的报考人员，均不得再次报考其他岗位。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3.对前1-4类人才经医院党委推荐认定达到相应条件的，可按照“一人一议一策”直接考核引进。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4.资格审查：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我院根据引进条件及岗位要求对应聘人员材料进行资格审查。符合岗位条件的应聘人员通过资格审查并进入下一环节，通过资格审核人员名单在贵州中医药大学第二附属医院官网（http://www.gzydefy.com/）上公布。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主要审查报名者是否符合引进人才的资格条件。报名人员对所提供材料的真实性负责，对提供虚假材料的，伪造、更改有关证件、材料、信息骗取报名资格的，以及存在舞弊行为，在审查中进行非法组织活动的，一经查实，立即取消后续环节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资格审查贯穿于引进人才工作全过程，在办理聘用备案手续后，若查核发现引进人员提供的信息材料是虚假、伪造、更改的，则给予辞退或开除处理。对符合报名条件的，不得拒绝报名；对审查不合格的，应说明理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（3）报名应聘人员填报的专业名称必须与毕业证和学位证一致，如专业名称后面带括号或其他说明的也必须如实填报。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注：应聘人员所学专业名称与公布专业不一致，但研究方向与岗位需求专业一致，须提供能体现应聘人员本人研究方向两项以上的代表业绩（一般应为作为第一作者在核心期刊及以上级别的期 刊发表的相关文章，或作为主要参与人〈排名前三〉参与或主持的厅级及以上或相当层次的项目研究成果，或发明人参专利〈排名前二〉或博士毕业论文等）作为佐证资料。人事处将根据应聘人员提供的佐证材料组织各招聘部门结合岗位专业要求开展论证，论证结果不通过的，资格审核不通过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5.面试考核：具体面试时间等安排在贵州中医药大学第二附属医院官网进行通知。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成熟一批、面试一批、招满为止”的原则，由医院组织相同或相近领域专家采取线下方式，对应聘人员的学术水平、学术潜力及培养价值等方面进行（面试）考核评价。线下考核总分为100分，低于80分的不予录取。（面试）考核结果、进入体检环节人员名单及具体安排在贵州中医药大学第二附属医院官网公示，通过考核的人才，按引才计划与考核通过人员1:1的比例确定进入体检环节人员。对已完成引才工作的岗位停止接收报名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体检：按引才计划与通过线下考核人员1:1的比例确定进入体检环节人员。未按规定时间、地点参加体检的视为放弃体检，放弃体检或体检不合格的，取消进入下一环节资格，空缺岗位不予递补。体检在县级及以上医院进行，如有复检的，复检只能进行一次，体检结果以复检结论为准。体检费用由应聘人员自理，体检标准参照贵州省公务员录用体检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7.考察：体检合格的应聘人员确定为考察对象，对其进行考察。考察内容主要包括应聘人员政治思想、道德品质、能力素质、学习和工作表现、遵纪守法、廉洁自律以及是否需要回避等。按照“凡进必审”的原则，贯彻党管人才原则，坚持政治标准和学术标准相统一，将思想政治表现、遵纪守法情况、道德品行等作为事业单位新进人员的首要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在考察中发现下列情况之一者，考察不合格，报贵州中医药大学第二附属医院党委审定后，取消其进入下一环节的资格，空缺岗位不予递补：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（2）定向到具体行业或单位的当年度高校毕业生；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（3）在读的非2026届应届大中专及以上毕业生；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（7）曾因贪污、行贿受贿、泄露国家机密等原因受到过党纪、政纪处分或近三年在机关、事业单位年度考核中曾被确定为“不称职”“不合格”的人员；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（8）截止考察环节未能提交招聘岗位所需资格条件的相关证明材料的人员；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（9）不符合招聘岗位所需资格或条件的人员；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（10）人民法院认定为失信被执行人的或经有关政府行政主管部门认定存在严重违法失信行为的人员；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（11）有法律法规规定不得聘用的人员。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8.公示：经报名、资格审查、考核及体检等程序合格的应聘人员，确定为拟聘用人员。贵州省人力资源和社会保障厅及贵州中医药大学第二附属医院官网将对拟聘用人员名单进行公示，公示时间不少于五个工作日。公示期间收到反映并经查实存在影响聘用问题的，取消聘用资格，一时难以查实的，暂缓聘用，待进一步查实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9.办理聘用备案手续及报到：公示结果不影响聘用的，按规定办理聘用备案手续。被聘用人员应在规定时间到引才单位报到。拒不报到的，解除聘用关系。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五、纪律监督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（一）贵州中医药大学第二附属医院纪检监察部门全程参与引才工作；相关工作人员严格落实引才工作的保密、回避等纪律要求，确保引才工作公正、公平。如出现违纪违规情况，一经发现，将严肃处理。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（二）引才有关政策咨询电话：</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咨询电话：0851－85287496（人事科）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监督电话：0851－85552970（纪检监察室）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联系时间：工作日上午9:00－12:00；下午14：00－17:00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六、其他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未尽事宜，由贵州中医药大学第二附属医院商省人力资源社会保障厅研究确定。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2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本方案由贵州中医药大学第二附属医院负责解释。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638" w:right="0" w:firstLine="42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"https://rst.guizhou.gov.cn/zwgk/zdlyxx/sydwgkzp/202604/P020260420536642780962.xlsx" \o "附件：贵州中医药大学第二附属医院2026年高层次人才引进岗位信息表.xlsx"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附件：贵州中医药大学第二附属医院2026年高层次人才引进岗位信息表.xlsx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638" w:right="0" w:firstLine="42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638" w:right="0" w:firstLine="42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638" w:right="0" w:firstLine="42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贵州中医药大学第二附属医院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638" w:right="0" w:firstLine="42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2026年4月20日</w:t>
      </w:r>
    </w:p>
    <w:p>
      <w:pPr>
        <w:ind w:left="0" w:leftChars="0" w:firstLine="0" w:firstLineChars="0"/>
        <w:rPr>
          <w:rFonts w:hint="eastAsia"/>
          <w:sz w:val="28"/>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Vkopd4BAAC+AwAADgAAAGRycy9lMm9Eb2MueG1srVPBjtMwEL0j8Q+W&#10;7zTZroS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pWSil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bYp4skBAACa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htini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aw0+G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C389A"/>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07AC389A"/>
    <w:rsid w:val="12A35234"/>
    <w:rsid w:val="201568F5"/>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2</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2026-04-22T10:56:00Z</dcterms:created>
  <dc:creator>Administrator</dc:creator>
  <cp:lastModifiedBy>Forget all</cp:lastModifiedBy>
  <dcterms:modified xsi:type="dcterms:W3CDTF">2026-04-22T10:58:39Z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380492602CA74017889FC5C5F319D06D</vt:lpwstr>
  </property>
  <property fmtid="{D5CDD505-2E9C-101B-9397-08002B2CF9AE}" pid="3" name="KSOProductBuildVer">
    <vt:lpwstr>2052-11.8.2.10912</vt:lpwstr>
  </property>
</Properties>
</file>