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3C7C6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862" w:tblpY="1003"/>
        <w:tblOverlap w:val="never"/>
        <w:tblW w:w="150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77"/>
        <w:gridCol w:w="1706"/>
        <w:gridCol w:w="1470"/>
        <w:gridCol w:w="870"/>
        <w:gridCol w:w="2340"/>
        <w:gridCol w:w="2475"/>
        <w:gridCol w:w="3343"/>
      </w:tblGrid>
      <w:tr w14:paraId="293F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Style w:val="4"/>
                <w:lang w:val="en-US" w:eastAsia="zh-CN" w:bidi="ar"/>
              </w:rPr>
              <w:t xml:space="preserve"> 称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 </w:t>
            </w:r>
            <w:r>
              <w:rPr>
                <w:rStyle w:val="4"/>
                <w:lang w:val="en-US" w:eastAsia="zh-CN" w:bidi="ar"/>
              </w:rPr>
              <w:t>聘 岗 位</w:t>
            </w:r>
          </w:p>
        </w:tc>
        <w:tc>
          <w:tcPr>
            <w:tcW w:w="8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221C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5380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成都市生态环境工程评估与绩效评价中心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从事成都市环境工程职称评审相关工作。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职称评审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1991年1月1日及以后出生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具有本科及以上学历，并取得相应学位；专业不限。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具有3年及以上各类职称评审工作经历。</w:t>
            </w:r>
          </w:p>
        </w:tc>
      </w:tr>
      <w:tr w14:paraId="4D84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从事技术工作方案、工作总结等文稿材料写作。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文稿写作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1991年1月1日及以后出生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具有本科及以上学历，并取得相应学位；专业不限。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具有3年及以上的综合性文稿写作经历，具有较高的政策理论水平和较强的文稿写作能力。</w:t>
            </w:r>
          </w:p>
        </w:tc>
      </w:tr>
    </w:tbl>
    <w:p w14:paraId="17306307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default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成都市生态环境工程评估与绩效评价中心2026年编外人员招聘岗位表</w:t>
      </w:r>
    </w:p>
    <w:p w14:paraId="58AE9C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E3552"/>
    <w:rsid w:val="1D0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2026-04-27T02:07:00Z</dcterms:created>
  <dc:creator>邓清元</dc:creator>
  <cp:lastModifiedBy>邓清元</cp:lastModifiedBy>
  <dcterms:modified xsi:type="dcterms:W3CDTF">2026-04-27T02:11:55Z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EB801B6120674EC8BEF6961AFE6ED6EF_11</vt:lpwstr>
  </property>
  <property fmtid="{D5CDD505-2E9C-101B-9397-08002B2CF9AE}" pid="4" name="KSOTemplateDocerSaveRecord">
    <vt:lpwstr>eyJoZGlkIjoiNWJkMjdlNjBiY2E2NjZjZDJiOGExZDc0NmNmMzVhYmIiLCJ1c2VySWQiOiIyODA0MTk4NzcifQ==</vt:lpwstr>
  </property>
</Properties>
</file>